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/>
      </w:pPr>
      <w:r>
        <w:rPr>
          <w:rFonts w:ascii="PT Astra Serif" w:hAnsi="PT Astra Serif"/>
          <w:b/>
          <w:bCs/>
          <w:i w:val="false"/>
          <w:strike w:val="false"/>
          <w:dstrike w:val="false"/>
          <w:sz w:val="28"/>
          <w:szCs w:val="28"/>
          <w:u w:val="none"/>
        </w:rPr>
        <w:t>ДОКЛАД</w:t>
      </w:r>
    </w:p>
    <w:p>
      <w:pPr>
        <w:pStyle w:val="Normal"/>
        <w:ind w:left="0" w:hanging="0"/>
        <w:jc w:val="center"/>
        <w:rPr/>
      </w:pPr>
      <w:r>
        <w:rPr>
          <w:rFonts w:ascii="PT Astra Serif" w:hAnsi="PT Astra Serif"/>
          <w:b/>
          <w:bCs/>
          <w:i w:val="false"/>
          <w:strike w:val="false"/>
          <w:dstrike w:val="false"/>
          <w:sz w:val="28"/>
          <w:szCs w:val="28"/>
          <w:u w:val="none"/>
        </w:rPr>
        <w:t>о состоянии законодательства Ульяновской области по вопросам, отнес</w:t>
      </w:r>
      <w:r>
        <w:rPr>
          <w:rFonts w:eastAsia="Source Han Sans CN Regular" w:cs="Lohit Devanagari" w:ascii="PT Astra Serif" w:hAnsi="PT Astra Serif"/>
          <w:b/>
          <w:bCs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ё</w:t>
      </w:r>
      <w:r>
        <w:rPr>
          <w:rFonts w:ascii="PT Astra Serif" w:hAnsi="PT Astra Serif"/>
          <w:b/>
          <w:bCs/>
          <w:i w:val="false"/>
          <w:strike w:val="false"/>
          <w:dstrike w:val="false"/>
          <w:sz w:val="28"/>
          <w:szCs w:val="28"/>
          <w:u w:val="none"/>
        </w:rPr>
        <w:t>нным</w:t>
        <w:br/>
        <w:t>к сфере деятельности Министерства агропромышленного комплекса</w:t>
        <w:br/>
        <w:t>и развития сельских территорий Ульяновской области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В рамках реализации мониторинга правоприменения законодательства Российской Федерации и законодательства Ульяновской области специалистами Министерства агропромышленного комплекса и развития сельских территорий Ульяновской области (далее — Министерство) выявлены следующие постановления Правительства Российской Федерации: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постановлени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е</w:t>
      </w:r>
      <w:r>
        <w:rPr>
          <w:sz w:val="28"/>
          <w:szCs w:val="28"/>
        </w:rPr>
        <w:t xml:space="preserve"> Правительства Российской Федерации 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постановление Правительства Российской Федерации от 07.12.2019 № 1615 «О внесении изменений в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постановление Правительства Российской Федерации от 31.03.2020 № 391</w:t>
        <w:br/>
        <w:t>«О внесении изменений в государственную программу Российской Федерации «Комплексное развитие сельских территорий»;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постановление Правительства Российской Федерации от 10.07.2020 № 1017</w:t>
        <w:br/>
        <w:t>«О внесении изменений в некоторые акты Правительства Российской Федерации</w:t>
        <w:br/>
        <w:t>в связи с принятием Федерального закона «О внесении изменений в Трудовой кодекс Российской Федерации в части формирования сведений о трудовой деятельности</w:t>
        <w:br/>
        <w:t>в электронном виде»;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постановление Правительства Российской Федерации от 18.12.2020 </w:t>
      </w: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№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2155</w:t>
        <w:br/>
        <w:t xml:space="preserve">«О внесении изменений в приложение </w:t>
      </w: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№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6 к государственной программе Российской Федерации «Комплексное развитие сельских территорий»;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постановление Правительства Российской Федерации от 25.06.2020 </w:t>
      </w: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№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923</w:t>
        <w:br/>
        <w:t xml:space="preserve">«О внесении изменений в приложения </w:t>
      </w: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№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7 и 8 к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постановление Правительства Российской Федерации от 16.07.2020 </w:t>
      </w: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№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1061</w:t>
        <w:br/>
        <w:t>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продовольст-вия»;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постановление Правительства Российской Федерации от 03.10.2020 </w:t>
      </w: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№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1594</w:t>
        <w:br/>
        <w:t xml:space="preserve">«О внесении изменений в приложения </w:t>
      </w: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№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6 и 8 к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постановление Правительства Российской Федерации от 26.11.2020 </w:t>
      </w: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№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1932</w:t>
        <w:br/>
        <w:t xml:space="preserve">«О внесении изменений в приложения </w:t>
      </w: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№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7 и 8 к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п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остановление Правительства Российской Федерации от 18.09.2020 № 1492</w:t>
        <w:br/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  <w:br/>
        <w:t>и отдельных положений некоторых актов Правительства Российской Федерации»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подготовлены проекты нормативных правовых актов, регулирующих предоставление грантов и субсидий из областного бюджета Ульяновской области</w:t>
        <w:br/>
        <w:t>в целях финансового обеспечения их затрат, в том числе постановлений Правительства Ульяновской области и приказам Министерства о приведении</w:t>
        <w:br/>
        <w:t>в соответствие с выявленными в ходе правоприменения законодательства Российской Федерации и законодательства Ульяновской области, а также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В рамках реализации плана законопроектной и нормотворческой деятельности в Ульяновской области в 2020 году Министерством агропромышленного комплекса</w:t>
        <w:br/>
        <w:t>и развития сельских территорий Ульяновской области проведена следующая работа в сфере подготовки правовых актов: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Разработан</w:t>
      </w:r>
      <w:r>
        <w:rPr>
          <w:b/>
          <w:sz w:val="28"/>
          <w:szCs w:val="28"/>
        </w:rPr>
        <w:t xml:space="preserve"> Закон Ульяновской области </w:t>
      </w:r>
      <w:r>
        <w:rPr>
          <w:bCs/>
          <w:i/>
          <w:sz w:val="28"/>
          <w:szCs w:val="28"/>
        </w:rPr>
        <w:t>«</w:t>
      </w:r>
      <w:r>
        <w:rPr>
          <w:rFonts w:cs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О внесении изменений в </w:t>
      </w:r>
      <w:r>
        <w:rPr>
          <w:rFonts w:cs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eastAsia="ru-RU"/>
        </w:rPr>
        <w:t>Закон Ульяновской области «Об обеспечении плодородия земель сельскохозяйственного назначения в Ульяновской области</w:t>
      </w:r>
      <w:r>
        <w:rPr>
          <w:bCs/>
          <w:i/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eastAsia="Calibri"/>
          <w:bCs/>
          <w:spacing w:val="-3"/>
          <w:sz w:val="28"/>
          <w:szCs w:val="28"/>
        </w:rPr>
        <w:t>Проект закона был подготовлен Министерством в связи с необходимостью актуализации используемых в Законе понятий, устранения дополнительных (дублирующих) требований по отношению к сельскохозяйственным производителям,</w:t>
        <w:br/>
        <w:t>а также с целью приведения положений регионального Закона в соответствие</w:t>
        <w:br/>
        <w:t>с</w:t>
      </w:r>
      <w:r>
        <w:rPr>
          <w:rFonts w:eastAsia="Calibri" w:cs="PT Astra Serif"/>
          <w:b w:val="false"/>
          <w:bCs/>
          <w:i w:val="false"/>
          <w:strike w:val="false"/>
          <w:dstrike w:val="false"/>
          <w:color w:val="000000"/>
          <w:spacing w:val="-3"/>
          <w:sz w:val="28"/>
          <w:szCs w:val="28"/>
          <w:u w:val="none"/>
        </w:rPr>
        <w:t xml:space="preserve"> положениями Федерального</w:t>
      </w:r>
      <w:r>
        <w:rPr>
          <w:rFonts w:eastAsia="Calibri" w:cs="Arial" w:ascii="Arial" w:hAnsi="Arial"/>
          <w:b w:val="false"/>
          <w:bCs/>
          <w:i w:val="false"/>
          <w:strike w:val="false"/>
          <w:dstrike w:val="false"/>
          <w:color w:val="000000"/>
          <w:spacing w:val="-3"/>
          <w:sz w:val="20"/>
          <w:szCs w:val="28"/>
          <w:u w:val="none"/>
        </w:rPr>
        <w:t xml:space="preserve"> </w:t>
      </w:r>
      <w:r>
        <w:rPr>
          <w:rFonts w:eastAsia="Calibri" w:cs="PT Astra Serif"/>
          <w:b w:val="false"/>
          <w:bCs/>
          <w:i w:val="false"/>
          <w:strike w:val="false"/>
          <w:dstrike w:val="false"/>
          <w:color w:val="000000"/>
          <w:spacing w:val="-3"/>
          <w:sz w:val="28"/>
          <w:szCs w:val="28"/>
          <w:u w:val="none"/>
        </w:rPr>
        <w:t>закона от 31.07.2020 № 308-ФЗ «О внесении изменений</w:t>
        <w:br/>
        <w:t>в статью 22 Федерального закона «О безопасном обращении с пестицидами</w:t>
        <w:br/>
        <w:t>и агрохимикатами» и Федеральный закон «О государственном регулировании обеспечения плодородия земель сельскохозяйственного назначения».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Подготовлено </w:t>
      </w:r>
      <w:r>
        <w:rPr>
          <w:b/>
          <w:bCs/>
          <w:sz w:val="28"/>
          <w:szCs w:val="28"/>
        </w:rPr>
        <w:t>30</w:t>
      </w:r>
      <w:r>
        <w:rPr>
          <w:b/>
          <w:sz w:val="28"/>
          <w:szCs w:val="28"/>
        </w:rPr>
        <w:t xml:space="preserve"> постановлений Правительства Ульяновской области</w:t>
      </w:r>
      <w:r>
        <w:rPr>
          <w:rStyle w:val="Date"/>
          <w:bCs/>
          <w:sz w:val="28"/>
          <w:szCs w:val="28"/>
        </w:rPr>
        <w:t>.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Также была осуществлена </w:t>
      </w:r>
      <w:r>
        <w:rPr>
          <w:b/>
          <w:sz w:val="28"/>
          <w:szCs w:val="28"/>
        </w:rPr>
        <w:t>подготовка: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 указов Губернатора Ульяновской области;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1 распоряжений Губернатора Ульяновской области;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10 распоряжений Правительства Ульяновской области, среди которых наиболее значимыми явля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ю</w:t>
      </w:r>
      <w:r>
        <w:rPr>
          <w:sz w:val="28"/>
          <w:szCs w:val="28"/>
        </w:rPr>
        <w:t>тся стратегия развития рыбохозяйственного комплекса Ульяновской области на период до 2030 года и</w:t>
      </w:r>
      <w:r>
        <w:rPr>
          <w:b w:val="false"/>
          <w:bCs w:val="false"/>
          <w:sz w:val="28"/>
          <w:szCs w:val="28"/>
        </w:rPr>
        <w:t xml:space="preserve"> </w:t>
      </w:r>
      <w:bookmarkStart w:id="0" w:name="__DdeLink__2285_1263361031"/>
      <w:r>
        <w:rPr>
          <w:rFonts w:cs="PT Astra Serif"/>
          <w:b w:val="false"/>
          <w:bCs w:val="false"/>
          <w:sz w:val="28"/>
          <w:szCs w:val="28"/>
        </w:rPr>
        <w:t>долгосрочная стратеги</w:t>
      </w:r>
      <w:r>
        <w:rPr>
          <w:rFonts w:eastAsia="Source Han Sans CN Regular" w:cs="PT Astra Serif"/>
          <w:b w:val="false"/>
          <w:bCs w:val="false"/>
          <w:color w:val="auto"/>
          <w:kern w:val="2"/>
          <w:sz w:val="28"/>
          <w:szCs w:val="28"/>
          <w:lang w:val="ru-RU" w:eastAsia="ru-RU" w:bidi="ru-RU"/>
        </w:rPr>
        <w:t>я</w:t>
      </w:r>
      <w:r>
        <w:rPr>
          <w:rFonts w:cs="PT Astra Serif"/>
          <w:b w:val="false"/>
          <w:bCs w:val="false"/>
          <w:sz w:val="28"/>
          <w:szCs w:val="28"/>
        </w:rPr>
        <w:t xml:space="preserve"> развития зернового комплекса Ульяновской области на период до </w:t>
      </w:r>
      <w:r>
        <w:rPr>
          <w:rFonts w:cs="PT Astra Serif"/>
          <w:b w:val="false"/>
          <w:bCs w:val="false"/>
          <w:sz w:val="28"/>
          <w:szCs w:val="28"/>
          <w:lang w:val="ru-RU"/>
        </w:rPr>
        <w:t>2035 года</w:t>
      </w:r>
      <w:bookmarkEnd w:id="0"/>
      <w:r>
        <w:rPr>
          <w:rFonts w:cs="PT Astra Serif"/>
          <w:b w:val="false"/>
          <w:bCs w:val="false"/>
          <w:sz w:val="28"/>
          <w:szCs w:val="28"/>
          <w:lang w:val="ru-RU"/>
        </w:rPr>
        <w:t>. Указанные</w:t>
      </w:r>
      <w:r>
        <w:rPr>
          <w:rFonts w:cs="PT Astra Serif"/>
          <w:b w:val="false"/>
          <w:bCs w:val="false"/>
          <w:color w:val="00000A"/>
          <w:sz w:val="28"/>
          <w:szCs w:val="28"/>
          <w:lang w:val="ru-RU"/>
        </w:rPr>
        <w:t xml:space="preserve"> нормативные правовые акты разработаны в целях повышения конкурентоспособности и устойчивого динамического развития данного сектора аграрной экономики Ульяновской области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46 приказов Министерства агропромышленного комплекса и развития сельских территорий Ульяновской области;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>
        <w:rPr>
          <w:b/>
          <w:sz w:val="28"/>
          <w:szCs w:val="28"/>
        </w:rPr>
        <w:t xml:space="preserve">в целях </w:t>
      </w:r>
      <w:r>
        <w:rPr>
          <w:rFonts w:cs="PT Astra Serif"/>
          <w:b/>
          <w:sz w:val="28"/>
          <w:szCs w:val="28"/>
        </w:rPr>
        <w:t>реализации постановления Совета Федерации Федерального Собрания Российской Федерации «О государственной поддержке социально-экономического развития Ульяновской области» от 20.02.2019 № 44-СФ</w:t>
      </w:r>
      <w:r>
        <w:rPr>
          <w:rFonts w:cs="PT Astra Serif"/>
          <w:sz w:val="28"/>
          <w:szCs w:val="28"/>
        </w:rPr>
        <w:t xml:space="preserve"> (принято по итогам проведения «</w:t>
      </w:r>
      <w:r>
        <w:rPr>
          <w:rFonts w:cs="TimesDL"/>
          <w:sz w:val="28"/>
          <w:szCs w:val="28"/>
        </w:rPr>
        <w:t>Дней Ульяновской области в Совете Федерации», 12-13 февраля 2019 года)</w:t>
      </w:r>
      <w:r>
        <w:rPr>
          <w:rFonts w:cs="PT Astra Serif"/>
          <w:sz w:val="28"/>
          <w:szCs w:val="28"/>
        </w:rPr>
        <w:t xml:space="preserve"> Министерством агропромышленного комплекса и развития сельских территорий Ульяновской области продолжена работа по разработке </w:t>
      </w:r>
      <w:r>
        <w:rPr>
          <w:rFonts w:cs="PT Astra Serif"/>
          <w:b/>
          <w:sz w:val="28"/>
          <w:szCs w:val="28"/>
        </w:rPr>
        <w:t>проекта федеральн</w:t>
      </w:r>
      <w:r>
        <w:rPr>
          <w:rFonts w:eastAsia="Source Han Sans CN Regular" w:cs="PT Astra Serif"/>
          <w:b/>
          <w:color w:val="auto"/>
          <w:kern w:val="2"/>
          <w:sz w:val="28"/>
          <w:szCs w:val="28"/>
          <w:lang w:val="ru-RU" w:eastAsia="ru-RU" w:bidi="ru-RU"/>
        </w:rPr>
        <w:t xml:space="preserve">ого </w:t>
      </w:r>
      <w:r>
        <w:rPr>
          <w:rFonts w:cs="PT Astra Serif"/>
          <w:b/>
          <w:sz w:val="28"/>
          <w:szCs w:val="28"/>
        </w:rPr>
        <w:t>закона</w:t>
      </w:r>
      <w:r>
        <w:rPr>
          <w:rFonts w:cs="PT Astra Serif"/>
          <w:sz w:val="28"/>
          <w:szCs w:val="28"/>
        </w:rPr>
        <w:t>«О в</w:t>
      </w:r>
      <w:r>
        <w:rPr>
          <w:rFonts w:cs="PT Astra Serif"/>
          <w:sz w:val="28"/>
          <w:szCs w:val="28"/>
          <w:lang w:eastAsia="en-US"/>
        </w:rPr>
        <w:t>несении изменений в статьи 16</w:t>
        <w:br/>
        <w:t xml:space="preserve">и 17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в части сохранения возможности участия в общем собрании членов товарищества уполномоченных представителей членов товарищества. </w:t>
      </w:r>
      <w:r>
        <w:rPr>
          <w:sz w:val="28"/>
          <w:szCs w:val="28"/>
        </w:rPr>
        <w:t>Данны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й</w:t>
      </w:r>
      <w:r>
        <w:rPr>
          <w:sz w:val="28"/>
          <w:szCs w:val="28"/>
        </w:rPr>
        <w:t xml:space="preserve"> законопроект был рассмотрен, 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доработан и направлен</w:t>
      </w:r>
      <w:r>
        <w:rPr>
          <w:sz w:val="28"/>
          <w:szCs w:val="28"/>
        </w:rPr>
        <w:t xml:space="preserve"> в </w:t>
      </w:r>
      <w:r>
        <w:rPr>
          <w:rFonts w:cs="PT Astra Serif"/>
          <w:sz w:val="28"/>
          <w:szCs w:val="28"/>
          <w:lang w:eastAsia="en-US"/>
        </w:rPr>
        <w:t>Совет законодателей Российской Федерации при Федеральном Собрании Российской Федерации.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/>
          <w:sz w:val="28"/>
          <w:szCs w:val="28"/>
          <w:lang w:eastAsia="en-US"/>
        </w:rPr>
        <w:t>Выявленные в ходе реализации мониторинга правоприменения нормативные правовые акты приведены в соответствие с федеральным законодательством</w:t>
        <w:br/>
        <w:t>в установленный срок.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DefaultParagraphFont">
    <w:name w:val="Default Paragraph Font"/>
    <w:qFormat/>
    <w:rPr/>
  </w:style>
  <w:style w:type="character" w:styleId="Ref">
    <w:name w:val="ref"/>
    <w:basedOn w:val="DefaultParagraphFont"/>
    <w:qFormat/>
    <w:rPr/>
  </w:style>
  <w:style w:type="character" w:styleId="Number">
    <w:name w:val="number"/>
    <w:basedOn w:val="DefaultParagraphFont"/>
    <w:qFormat/>
    <w:rPr/>
  </w:style>
  <w:style w:type="character" w:styleId="Date">
    <w:name w:val="date"/>
    <w:basedOn w:val="DefaultParagraphFont"/>
    <w:qFormat/>
    <w:rPr/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20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LibreOffice/6.4.6.2$Linux_X86_64 LibreOffice_project/40$Build-2</Application>
  <Pages>3</Pages>
  <Words>757</Words>
  <Characters>5802</Characters>
  <CharactersWithSpaces>6537</CharactersWithSpaces>
  <Paragraphs>25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2021-03-17T15:06:00Z</dcterms:created>
  <dc:creator/>
  <dc:description/>
  <dc:language>ru-RU</dc:language>
  <cp:lastModifiedBy/>
  <cp:lastPrinted>2021-03-17T14:49:54Z</cp:lastPrinted>
  <dcterms:modified xsi:type="dcterms:W3CDTF">2021-03-17T15:08:15Z</dcterms:modified>
  <cp:revision>7</cp:revision>
  <dc:subject/>
  <dc:title>Указ Губернатора Ульяновской области от 21.05.2019 N 44"О правовом мониторинге в Ульяновской области"(вместе с "Положением о правовом мониторинге в Ульяновской области")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